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5B36BAA0" w14:textId="77777777" w:rsidTr="00DA6A67">
        <w:tc>
          <w:tcPr>
            <w:tcW w:w="1384" w:type="dxa"/>
            <w:shd w:val="clear" w:color="auto" w:fill="D9D9D9" w:themeFill="background1" w:themeFillShade="D9"/>
            <w:vAlign w:val="bottom"/>
          </w:tcPr>
          <w:p w14:paraId="5BDB4D2E" w14:textId="77777777" w:rsidR="00ED3333" w:rsidRPr="00ED3333" w:rsidRDefault="002A26DD" w:rsidP="00ED3333">
            <w:pPr>
              <w:rPr>
                <w:b/>
                <w:bCs/>
                <w:sz w:val="28"/>
                <w:szCs w:val="28"/>
              </w:rPr>
            </w:pPr>
            <w:r>
              <w:rPr>
                <w:b/>
                <w:bCs/>
                <w:sz w:val="28"/>
                <w:szCs w:val="28"/>
              </w:rPr>
              <w:t>C</w:t>
            </w:r>
            <w:r w:rsidR="00ED3333" w:rsidRPr="00ED3333">
              <w:rPr>
                <w:b/>
                <w:bCs/>
                <w:sz w:val="28"/>
                <w:szCs w:val="28"/>
              </w:rPr>
              <w:t>.0</w:t>
            </w:r>
            <w:r>
              <w:rPr>
                <w:b/>
                <w:bCs/>
                <w:sz w:val="28"/>
                <w:szCs w:val="28"/>
              </w:rPr>
              <w:t>3</w:t>
            </w:r>
          </w:p>
        </w:tc>
        <w:tc>
          <w:tcPr>
            <w:tcW w:w="7826" w:type="dxa"/>
            <w:shd w:val="clear" w:color="auto" w:fill="D9D9D9" w:themeFill="background1" w:themeFillShade="D9"/>
            <w:vAlign w:val="bottom"/>
          </w:tcPr>
          <w:p w14:paraId="072CC2B8" w14:textId="77777777" w:rsidR="00ED3333" w:rsidRPr="00ED3333" w:rsidRDefault="002A26DD" w:rsidP="00ED3333">
            <w:pPr>
              <w:rPr>
                <w:b/>
                <w:bCs/>
                <w:sz w:val="28"/>
                <w:szCs w:val="28"/>
              </w:rPr>
            </w:pPr>
            <w:r>
              <w:rPr>
                <w:b/>
                <w:bCs/>
                <w:sz w:val="28"/>
                <w:szCs w:val="28"/>
              </w:rPr>
              <w:t>Ochranná zídka (LB)</w:t>
            </w:r>
          </w:p>
        </w:tc>
      </w:tr>
      <w:tr w:rsidR="002F650F" w14:paraId="456D3DCB" w14:textId="77777777" w:rsidTr="002F650F">
        <w:tc>
          <w:tcPr>
            <w:tcW w:w="1384" w:type="dxa"/>
          </w:tcPr>
          <w:p w14:paraId="5DA2654A" w14:textId="77777777" w:rsidR="002F650F" w:rsidRDefault="00ED3333" w:rsidP="002F650F">
            <w:r>
              <w:t>Úsek</w:t>
            </w:r>
          </w:p>
        </w:tc>
        <w:tc>
          <w:tcPr>
            <w:tcW w:w="7826" w:type="dxa"/>
          </w:tcPr>
          <w:p w14:paraId="3A14A791" w14:textId="77777777" w:rsidR="002F650F" w:rsidRDefault="002A26DD" w:rsidP="002F650F">
            <w:r>
              <w:t>C</w:t>
            </w:r>
            <w:r w:rsidRPr="00113E1A">
              <w:t xml:space="preserve"> (</w:t>
            </w:r>
            <w:r>
              <w:t>od mostu „U jatek“ po „krnovský Manchester“</w:t>
            </w:r>
            <w:r w:rsidRPr="00113E1A">
              <w:t>)</w:t>
            </w:r>
          </w:p>
        </w:tc>
      </w:tr>
    </w:tbl>
    <w:p w14:paraId="0AE85F9A" w14:textId="77777777" w:rsidR="00BE0FEB" w:rsidRDefault="00BE0FEB">
      <w:pPr>
        <w:pStyle w:val="Bntext"/>
      </w:pPr>
    </w:p>
    <w:p w14:paraId="0FA85C08" w14:textId="77777777" w:rsidR="002F650F" w:rsidRDefault="008E208F" w:rsidP="00DA6A67">
      <w:pPr>
        <w:pStyle w:val="NadpisC"/>
      </w:pPr>
      <w:r>
        <w:t>1</w:t>
      </w:r>
      <w:r>
        <w:tab/>
      </w:r>
      <w:r w:rsidR="002F650F">
        <w:t>Popis námětu dle Studie</w:t>
      </w:r>
    </w:p>
    <w:p w14:paraId="48DF6484" w14:textId="77777777" w:rsidR="002F650F" w:rsidRPr="002A26DD" w:rsidRDefault="002A26DD" w:rsidP="002A26DD">
      <w:pPr>
        <w:pStyle w:val="Bntext"/>
        <w:rPr>
          <w:i/>
          <w:iCs/>
        </w:rPr>
      </w:pPr>
      <w:r w:rsidRPr="002A26DD">
        <w:rPr>
          <w:i/>
          <w:iCs/>
        </w:rPr>
        <w:t>Protipovodňová ochrana zástavby na Q</w:t>
      </w:r>
      <w:r w:rsidRPr="007B4CAD">
        <w:rPr>
          <w:i/>
          <w:iCs/>
          <w:vertAlign w:val="subscript"/>
        </w:rPr>
        <w:t>150</w:t>
      </w:r>
      <w:r w:rsidRPr="002A26DD">
        <w:rPr>
          <w:i/>
          <w:iCs/>
        </w:rPr>
        <w:t>. Zídka je umístěna „za“ rekreační trasu, na pozici rozhraní pozemků. Ideálním řešení je sjednotit pozici zídky s pozicí plotů jednotlivých majitelů. Tímto řešením se vyruší vzniklý prostor mezi zídkou a plotem a zamezí se tam nežádoucímu ukládání náletových dřevin, odpadu apod. Materiálové řešení zídky kámen (řádkové nebo tzv. kyklopské zdivo), horní hrana zídky je ukončena kamenem, kamennou deskou nebo cihlou. Alternativní materiálové řešení je železobetonem litý do</w:t>
      </w:r>
      <w:r w:rsidR="00201086">
        <w:rPr>
          <w:i/>
          <w:iCs/>
        </w:rPr>
        <w:t xml:space="preserve"> </w:t>
      </w:r>
      <w:r w:rsidRPr="002A26DD">
        <w:rPr>
          <w:i/>
          <w:iCs/>
        </w:rPr>
        <w:t xml:space="preserve">systémového bednění nebo do bednění se vzorem dle návrhu architekta. Zídka by kromě protipovodňové ochrany, měla splňovat také estetickou funkci, resp. neměla by působit zcela technicky. Případné propojení se zahradou </w:t>
      </w:r>
      <w:proofErr w:type="spellStart"/>
      <w:r w:rsidRPr="002A26DD">
        <w:rPr>
          <w:i/>
          <w:iCs/>
        </w:rPr>
        <w:t>Flemmichovy</w:t>
      </w:r>
      <w:proofErr w:type="spellEnd"/>
      <w:r w:rsidRPr="002A26DD">
        <w:rPr>
          <w:i/>
          <w:iCs/>
        </w:rPr>
        <w:t xml:space="preserve"> vily bude řešeno vloženými stupni a bude esteticky navazovat na výraz zahrady.  </w:t>
      </w:r>
    </w:p>
    <w:p w14:paraId="3D1FEBFA" w14:textId="77777777" w:rsidR="002F650F" w:rsidRDefault="008E208F" w:rsidP="00DA6A67">
      <w:pPr>
        <w:pStyle w:val="NadpisC"/>
      </w:pPr>
      <w:r>
        <w:t>2</w:t>
      </w:r>
      <w:r>
        <w:tab/>
      </w:r>
      <w:r w:rsidR="002F650F">
        <w:t>Umístění</w:t>
      </w:r>
    </w:p>
    <w:p w14:paraId="0CACAF5D" w14:textId="77777777" w:rsidR="008E7411" w:rsidRPr="00BE7489" w:rsidRDefault="008E7411" w:rsidP="008E7411">
      <w:r w:rsidRPr="00BE7489">
        <w:t>Námět v souladu s</w:t>
      </w:r>
      <w:r>
        <w:t> </w:t>
      </w:r>
      <w:r w:rsidRPr="00BE7489">
        <w:t>ÚP</w:t>
      </w:r>
      <w:r>
        <w:t>.</w:t>
      </w:r>
      <w:r w:rsidRPr="00F55FC6">
        <w:rPr>
          <w:color w:val="FF0000"/>
        </w:rPr>
        <w:t xml:space="preserve"> </w:t>
      </w:r>
      <w:r w:rsidRPr="00BE7489">
        <w:t xml:space="preserve">Koridory vodní a </w:t>
      </w:r>
      <w:proofErr w:type="gramStart"/>
      <w:r w:rsidRPr="00BE7489">
        <w:t>vodohospodářské - KW</w:t>
      </w:r>
      <w:proofErr w:type="gramEnd"/>
      <w:r w:rsidRPr="00BE7489">
        <w:t>-026</w:t>
      </w:r>
    </w:p>
    <w:p w14:paraId="57D03895" w14:textId="77777777" w:rsidR="008E7411" w:rsidRPr="00BE7489" w:rsidRDefault="008E7411" w:rsidP="008E7411">
      <w:r w:rsidRPr="00BE7489">
        <w:t xml:space="preserve">Zábory, majetkoprávní vypořádání – pozemek </w:t>
      </w:r>
      <w:proofErr w:type="gramStart"/>
      <w:r>
        <w:t>PO,  v</w:t>
      </w:r>
      <w:proofErr w:type="gramEnd"/>
      <w:r>
        <w:t xml:space="preserve"> případě adaptace námětu pozemky Strojíren </w:t>
      </w:r>
      <w:proofErr w:type="spellStart"/>
      <w:r>
        <w:t>Kalinowski</w:t>
      </w:r>
      <w:proofErr w:type="spellEnd"/>
      <w:r>
        <w:t xml:space="preserve"> a p. </w:t>
      </w:r>
      <w:proofErr w:type="spellStart"/>
      <w:r>
        <w:t>Tihelky</w:t>
      </w:r>
      <w:proofErr w:type="spellEnd"/>
      <w:r>
        <w:t>.</w:t>
      </w:r>
    </w:p>
    <w:p w14:paraId="6A179600" w14:textId="77777777" w:rsidR="008E7411" w:rsidRPr="00B220E5" w:rsidRDefault="008E7411" w:rsidP="008E7411">
      <w:pPr>
        <w:pStyle w:val="Bntext"/>
      </w:pPr>
      <w:r w:rsidRPr="00472060">
        <w:t>Nejsou kolize s </w:t>
      </w:r>
      <w:r w:rsidRPr="00B220E5">
        <w:t xml:space="preserve">infrastrukturou. </w:t>
      </w:r>
    </w:p>
    <w:p w14:paraId="25E27117" w14:textId="77777777" w:rsidR="002F650F" w:rsidRDefault="008E208F" w:rsidP="00235460">
      <w:pPr>
        <w:pStyle w:val="NadpisC"/>
      </w:pPr>
      <w:r>
        <w:t>3</w:t>
      </w:r>
      <w:r>
        <w:tab/>
      </w:r>
      <w:r w:rsidR="00235460">
        <w:t>Komentář</w:t>
      </w:r>
    </w:p>
    <w:p w14:paraId="7B195931" w14:textId="77777777" w:rsidR="008E7411" w:rsidRDefault="008E7411" w:rsidP="008E7411">
      <w:pPr>
        <w:pStyle w:val="Bntext"/>
      </w:pPr>
      <w:r>
        <w:t>Řešení je uvedeno na přílohách studie: zpráva A str. 23, situace B.04c</w:t>
      </w:r>
      <w:r w:rsidR="00A85A37">
        <w:t xml:space="preserve"> + </w:t>
      </w:r>
      <w:r w:rsidR="00A85A37" w:rsidRPr="00A85A37">
        <w:t>B05d_PRICNY REZ C</w:t>
      </w:r>
    </w:p>
    <w:p w14:paraId="167FA4D7" w14:textId="77777777" w:rsidR="00A85A37" w:rsidRDefault="00A85A37" w:rsidP="00A85A37">
      <w:pPr>
        <w:pStyle w:val="Bntext"/>
      </w:pPr>
      <w:r>
        <w:t xml:space="preserve">Nesprávně uveden parametr. Nejedná se o Q150, ale o </w:t>
      </w:r>
      <w:proofErr w:type="spellStart"/>
      <w:r>
        <w:t>Q</w:t>
      </w:r>
      <w:r w:rsidRPr="00EC142E">
        <w:rPr>
          <w:vertAlign w:val="subscript"/>
        </w:rPr>
        <w:t>Návrh</w:t>
      </w:r>
      <w:proofErr w:type="spellEnd"/>
      <w:r w:rsidRPr="00EC142E">
        <w:rPr>
          <w:vertAlign w:val="subscript"/>
        </w:rPr>
        <w:t>.</w:t>
      </w:r>
      <w:r>
        <w:t xml:space="preserve"> = 150 m</w:t>
      </w:r>
      <w:r w:rsidRPr="00EC142E">
        <w:rPr>
          <w:vertAlign w:val="superscript"/>
        </w:rPr>
        <w:t>3</w:t>
      </w:r>
      <w:r>
        <w:t>/s.</w:t>
      </w:r>
    </w:p>
    <w:p w14:paraId="39E37F48" w14:textId="77777777" w:rsidR="00A85A37" w:rsidRDefault="00B72190" w:rsidP="00A85A37">
      <w:pPr>
        <w:pStyle w:val="Bntext"/>
      </w:pPr>
      <w:r>
        <w:rPr>
          <w:noProof/>
        </w:rPr>
        <mc:AlternateContent>
          <mc:Choice Requires="wps">
            <w:drawing>
              <wp:anchor distT="0" distB="0" distL="114300" distR="114300" simplePos="0" relativeHeight="251659264" behindDoc="0" locked="0" layoutInCell="1" allowOverlap="1" wp14:anchorId="12497B16" wp14:editId="2803B6DD">
                <wp:simplePos x="0" y="0"/>
                <wp:positionH relativeFrom="column">
                  <wp:posOffset>154256</wp:posOffset>
                </wp:positionH>
                <wp:positionV relativeFrom="paragraph">
                  <wp:posOffset>637247</wp:posOffset>
                </wp:positionV>
                <wp:extent cx="711835" cy="501162"/>
                <wp:effectExtent l="0" t="0" r="12065" b="13335"/>
                <wp:wrapNone/>
                <wp:docPr id="3" name="Ovál 3"/>
                <wp:cNvGraphicFramePr/>
                <a:graphic xmlns:a="http://schemas.openxmlformats.org/drawingml/2006/main">
                  <a:graphicData uri="http://schemas.microsoft.com/office/word/2010/wordprocessingShape">
                    <wps:wsp>
                      <wps:cNvSpPr/>
                      <wps:spPr>
                        <a:xfrm>
                          <a:off x="0" y="0"/>
                          <a:ext cx="711835" cy="501162"/>
                        </a:xfrm>
                        <a:prstGeom prst="ellipse">
                          <a:avLst/>
                        </a:prstGeom>
                        <a:no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448576" id="Ovál 3" o:spid="_x0000_s1026" style="position:absolute;margin-left:12.15pt;margin-top:50.2pt;width:56.05pt;height:3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" filled="f" strokecolor="#c0504d [3205]" strokeweight="2pt"/>
            </w:pict>
          </mc:Fallback>
        </mc:AlternateContent>
      </w:r>
      <w:r w:rsidR="00A85A37" w:rsidRPr="00372E79">
        <w:rPr>
          <w:noProof/>
        </w:rPr>
        <w:drawing>
          <wp:inline distT="0" distB="0" distL="0" distR="0" wp14:anchorId="318AF4C8" wp14:editId="3ADD74D9">
            <wp:extent cx="5759450" cy="1392464"/>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2045" b="4671"/>
                    <a:stretch/>
                  </pic:blipFill>
                  <pic:spPr bwMode="auto">
                    <a:xfrm>
                      <a:off x="0" y="0"/>
                      <a:ext cx="5759450" cy="1392464"/>
                    </a:xfrm>
                    <a:prstGeom prst="rect">
                      <a:avLst/>
                    </a:prstGeom>
                    <a:ln>
                      <a:noFill/>
                    </a:ln>
                    <a:extLst>
                      <a:ext uri="{53640926-AAD7-44D8-BBD7-CCE9431645EC}">
                        <a14:shadowObscured xmlns:a14="http://schemas.microsoft.com/office/drawing/2010/main"/>
                      </a:ext>
                    </a:extLst>
                  </pic:spPr>
                </pic:pic>
              </a:graphicData>
            </a:graphic>
          </wp:inline>
        </w:drawing>
      </w:r>
    </w:p>
    <w:p w14:paraId="6796C951"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1EB6124D" w14:textId="77777777" w:rsidR="00B220E5" w:rsidRDefault="00B220E5" w:rsidP="00B220E5">
      <w:pPr>
        <w:pStyle w:val="Bntext"/>
      </w:pPr>
      <w:r>
        <w:t>Lze začlenit do koncepce PPO.</w:t>
      </w:r>
    </w:p>
    <w:p w14:paraId="49E8E0B3" w14:textId="77777777" w:rsidR="006C0CF4" w:rsidRPr="00B220E5" w:rsidRDefault="008E7411" w:rsidP="006C0CF4">
      <w:pPr>
        <w:pStyle w:val="Bntext"/>
      </w:pPr>
      <w:r w:rsidRPr="000E219D">
        <w:t>Umístění ochranné zídky odpovídá návrhu DUR PPO. Pozice zídky sleduje až na lokální výjimky převážně linii oplocení sousedních pozemků</w:t>
      </w:r>
      <w:r w:rsidR="005B7EDA" w:rsidRPr="000E219D">
        <w:t xml:space="preserve">. </w:t>
      </w:r>
      <w:r w:rsidRPr="000E219D">
        <w:t xml:space="preserve">Úplné </w:t>
      </w:r>
      <w:r w:rsidR="005B7EDA" w:rsidRPr="000E219D">
        <w:t>s</w:t>
      </w:r>
      <w:r w:rsidRPr="000E219D">
        <w:t xml:space="preserve">jednocení zídky s pozicí oplocení je možné na úkor plynulého průběhu. </w:t>
      </w:r>
      <w:r w:rsidR="00B72190">
        <w:t>Navrhované m</w:t>
      </w:r>
      <w:r w:rsidR="000E219D">
        <w:t xml:space="preserve">ateriálové řešení </w:t>
      </w:r>
      <w:r w:rsidR="00B220E5">
        <w:t xml:space="preserve">z kamenného zdiva by vedlo k návrhu poměrně masivní konstrukce s vyššími prostorovými </w:t>
      </w:r>
      <w:r w:rsidR="00B220E5" w:rsidRPr="00B220E5">
        <w:t>nároky.</w:t>
      </w:r>
      <w:r w:rsidR="006C0CF4" w:rsidRPr="00B220E5">
        <w:t xml:space="preserve"> </w:t>
      </w:r>
    </w:p>
    <w:p w14:paraId="06010CDF" w14:textId="77777777" w:rsidR="002F650F" w:rsidRDefault="008E208F" w:rsidP="006C0CF4">
      <w:pPr>
        <w:pStyle w:val="NadpisC"/>
      </w:pPr>
      <w:r>
        <w:t>5</w:t>
      </w:r>
      <w:r>
        <w:tab/>
      </w:r>
      <w:r w:rsidR="005B07AF">
        <w:t>V</w:t>
      </w:r>
      <w:r w:rsidR="002F650F" w:rsidRPr="00ED3333">
        <w:t>liv na dosažení požadovaných kapacit PPO</w:t>
      </w:r>
    </w:p>
    <w:p w14:paraId="71577251" w14:textId="77777777" w:rsidR="00ED3333" w:rsidRPr="00ED3333" w:rsidRDefault="008E7411" w:rsidP="00ED3333">
      <w:pPr>
        <w:pStyle w:val="Bntext"/>
      </w:pPr>
      <w:r w:rsidRPr="000E3228">
        <w:t>Vliv ne</w:t>
      </w:r>
      <w:r>
        <w:t>utrální.</w:t>
      </w:r>
    </w:p>
    <w:p w14:paraId="42C98D2E"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4939EC03" w14:textId="77777777" w:rsidR="00B220E5" w:rsidRDefault="00B220E5" w:rsidP="00F73DEB">
      <w:pPr>
        <w:pStyle w:val="Bntext"/>
      </w:pPr>
      <w:r>
        <w:t>Nutnost koordinace námětů C.02 a C.03.</w:t>
      </w:r>
    </w:p>
    <w:p w14:paraId="4E2001CF" w14:textId="77777777" w:rsidR="00F73DEB" w:rsidRPr="000E219D" w:rsidRDefault="006C0CF4" w:rsidP="00F73DEB">
      <w:pPr>
        <w:pStyle w:val="Bntext"/>
      </w:pPr>
      <w:r>
        <w:t xml:space="preserve">Pro možnost realizace </w:t>
      </w:r>
      <w:r w:rsidR="00F73DEB" w:rsidRPr="000E219D">
        <w:t>námětu C.02 (rekreační trasa) by v úseku od plechové haly na p.č.351 po SPŠ bylo nutno ochrannou zídku odsunout za hranici pozemku</w:t>
      </w:r>
      <w:r>
        <w:t xml:space="preserve"> PO</w:t>
      </w:r>
      <w:r w:rsidR="009079AE">
        <w:t xml:space="preserve"> (</w:t>
      </w:r>
      <w:r w:rsidR="009079AE" w:rsidRPr="00A87A25">
        <w:t>zábor soukrom</w:t>
      </w:r>
      <w:r w:rsidR="009079AE">
        <w:t>ého</w:t>
      </w:r>
      <w:r w:rsidR="009079AE" w:rsidRPr="00A87A25">
        <w:t xml:space="preserve"> pozemků a dotčení objektu (rampy) v areálu fy. Strojírny </w:t>
      </w:r>
      <w:proofErr w:type="spellStart"/>
      <w:proofErr w:type="gramStart"/>
      <w:r w:rsidR="009079AE" w:rsidRPr="00A87A25">
        <w:t>Kalinowski</w:t>
      </w:r>
      <w:proofErr w:type="spellEnd"/>
      <w:r w:rsidR="009079AE" w:rsidRPr="00A87A25">
        <w:t>.</w:t>
      </w:r>
      <w:r w:rsidR="00F73DEB" w:rsidRPr="000E219D">
        <w:t>.</w:t>
      </w:r>
      <w:proofErr w:type="gramEnd"/>
      <w:r w:rsidR="00F73DEB" w:rsidRPr="000E219D">
        <w:t xml:space="preserve"> Návrh </w:t>
      </w:r>
      <w:proofErr w:type="gramStart"/>
      <w:r w:rsidR="00F73DEB" w:rsidRPr="000E219D">
        <w:t xml:space="preserve">úpravy </w:t>
      </w:r>
      <w:r w:rsidR="00B220E5">
        <w:t xml:space="preserve">- </w:t>
      </w:r>
      <w:r w:rsidR="00F73DEB" w:rsidRPr="000E219D">
        <w:t>viz</w:t>
      </w:r>
      <w:proofErr w:type="gramEnd"/>
      <w:r w:rsidR="00F73DEB" w:rsidRPr="000E219D">
        <w:t xml:space="preserve"> </w:t>
      </w:r>
      <w:r>
        <w:t xml:space="preserve">obrázek </w:t>
      </w:r>
      <w:r w:rsidR="00AC3DAA">
        <w:t>níže</w:t>
      </w:r>
      <w:r w:rsidR="00B220E5">
        <w:t xml:space="preserve">, </w:t>
      </w:r>
      <w:r>
        <w:t xml:space="preserve">vyznačeno </w:t>
      </w:r>
      <w:r w:rsidR="00F51BBC">
        <w:t xml:space="preserve">plně </w:t>
      </w:r>
      <w:r w:rsidR="00AC3DAA">
        <w:t xml:space="preserve">světle </w:t>
      </w:r>
      <w:r>
        <w:t>zeleně</w:t>
      </w:r>
      <w:r w:rsidR="00F73DEB" w:rsidRPr="000E219D">
        <w:t xml:space="preserve">. </w:t>
      </w:r>
    </w:p>
    <w:p w14:paraId="3CF2506B" w14:textId="77777777" w:rsidR="00ED3333" w:rsidRDefault="00E2473F" w:rsidP="00F51BBC">
      <w:pPr>
        <w:pStyle w:val="Bntext"/>
      </w:pPr>
      <w:r>
        <w:t xml:space="preserve">Nutné dořešit propojení u </w:t>
      </w:r>
      <w:proofErr w:type="spellStart"/>
      <w:r>
        <w:t>Flemmichovy</w:t>
      </w:r>
      <w:proofErr w:type="spellEnd"/>
      <w:r>
        <w:t xml:space="preserve"> vily. </w:t>
      </w:r>
      <w:r w:rsidR="00F73DEB" w:rsidRPr="000E219D">
        <w:t xml:space="preserve">Propojení se zahradou </w:t>
      </w:r>
      <w:proofErr w:type="spellStart"/>
      <w:r w:rsidR="00F73DEB" w:rsidRPr="000E219D">
        <w:t>Flemmichovy</w:t>
      </w:r>
      <w:proofErr w:type="spellEnd"/>
      <w:r w:rsidR="00F73DEB" w:rsidRPr="000E219D">
        <w:t xml:space="preserve"> vily </w:t>
      </w:r>
      <w:r w:rsidR="00044DC5">
        <w:t>by bylo</w:t>
      </w:r>
      <w:r w:rsidR="00044DC5" w:rsidRPr="000E219D">
        <w:t xml:space="preserve"> </w:t>
      </w:r>
      <w:r w:rsidR="00F73DEB" w:rsidRPr="000E219D">
        <w:t xml:space="preserve">možno </w:t>
      </w:r>
      <w:r w:rsidR="00F73DEB" w:rsidRPr="000E219D">
        <w:lastRenderedPageBreak/>
        <w:t>realizovat stupni v lokálním odsazení zídky</w:t>
      </w:r>
      <w:r w:rsidR="006C0CF4">
        <w:t>, aby stupně nezasahovaly do rekreační trasy.</w:t>
      </w:r>
      <w:r w:rsidR="00F73DEB" w:rsidRPr="000E219D">
        <w:t xml:space="preserve"> </w:t>
      </w:r>
    </w:p>
    <w:p w14:paraId="3703FA21" w14:textId="77777777" w:rsidR="00405317" w:rsidRDefault="00405317" w:rsidP="00F51BBC">
      <w:pPr>
        <w:pStyle w:val="Bntext"/>
      </w:pPr>
    </w:p>
    <w:p w14:paraId="2E9F94FD" w14:textId="77777777" w:rsidR="00F51BBC" w:rsidRDefault="00F51BBC" w:rsidP="00F51BBC">
      <w:pPr>
        <w:pStyle w:val="Bntext"/>
      </w:pPr>
      <w:r>
        <w:rPr>
          <w:noProof/>
        </w:rPr>
        <w:drawing>
          <wp:inline distT="0" distB="0" distL="0" distR="0" wp14:anchorId="5CD87AA7" wp14:editId="77E63FFE">
            <wp:extent cx="5309289" cy="3493477"/>
            <wp:effectExtent l="0" t="0" r="5715" b="0"/>
            <wp:docPr id="1" name="Obrázek 1"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dsun_zidky.PNG"/>
                    <pic:cNvPicPr/>
                  </pic:nvPicPr>
                  <pic:blipFill>
                    <a:blip r:embed="rId8">
                      <a:extLst>
                        <a:ext uri="{28A0092B-C50C-407E-A947-70E740481C1C}">
                          <a14:useLocalDpi xmlns:a14="http://schemas.microsoft.com/office/drawing/2010/main" val="0"/>
                        </a:ext>
                      </a:extLst>
                    </a:blip>
                    <a:stretch>
                      <a:fillRect/>
                    </a:stretch>
                  </pic:blipFill>
                  <pic:spPr>
                    <a:xfrm>
                      <a:off x="0" y="0"/>
                      <a:ext cx="5322847" cy="3502398"/>
                    </a:xfrm>
                    <a:prstGeom prst="rect">
                      <a:avLst/>
                    </a:prstGeom>
                  </pic:spPr>
                </pic:pic>
              </a:graphicData>
            </a:graphic>
          </wp:inline>
        </w:drawing>
      </w:r>
    </w:p>
    <w:p w14:paraId="3B236EF3" w14:textId="77777777" w:rsidR="002F650F" w:rsidRDefault="007A41FB" w:rsidP="00DA6A67">
      <w:pPr>
        <w:pStyle w:val="NadpisC"/>
      </w:pPr>
      <w:r>
        <w:t>7</w:t>
      </w:r>
      <w:r>
        <w:tab/>
      </w:r>
      <w:r w:rsidR="00ED3333">
        <w:t>Z</w:t>
      </w:r>
      <w:r w:rsidR="002F650F">
        <w:t>hodnocení provozních hledisek z pohledu investor</w:t>
      </w:r>
      <w:r w:rsidR="001439D7">
        <w:t>a PPO</w:t>
      </w:r>
    </w:p>
    <w:p w14:paraId="59642D3A" w14:textId="77777777" w:rsidR="00ED3333" w:rsidRPr="00ED3333" w:rsidRDefault="008F3B89" w:rsidP="00ED3333">
      <w:pPr>
        <w:pStyle w:val="Bntext"/>
      </w:pPr>
      <w:r>
        <w:t>V nárocích na správu a údržbu nejsou rozdíly oproti řešení v DUR PPO.</w:t>
      </w:r>
    </w:p>
    <w:p w14:paraId="7327F8D0" w14:textId="77777777" w:rsidR="002F650F" w:rsidRDefault="007A41FB" w:rsidP="00DA6A67">
      <w:pPr>
        <w:pStyle w:val="NadpisC"/>
      </w:pPr>
      <w:r>
        <w:t>8</w:t>
      </w:r>
      <w:r>
        <w:tab/>
      </w:r>
      <w:r w:rsidR="001439D7">
        <w:t>S</w:t>
      </w:r>
      <w:r w:rsidR="002F650F">
        <w:t xml:space="preserve">tanovisko </w:t>
      </w:r>
      <w:r w:rsidR="00DA6A67">
        <w:t>investora PPO</w:t>
      </w:r>
    </w:p>
    <w:p w14:paraId="5F812F3C" w14:textId="77777777" w:rsidR="00405317" w:rsidRDefault="008F3B89" w:rsidP="00DA6A67">
      <w:pPr>
        <w:pStyle w:val="Bntext"/>
      </w:pPr>
      <w:r w:rsidRPr="008F3B89">
        <w:t>Z hlediska vodního hospodářství je navržené opatření možné po provedení úprav a za předpokladu projednání majetkoprávních vztahů</w:t>
      </w:r>
      <w:r>
        <w:t xml:space="preserve"> </w:t>
      </w:r>
      <w:r w:rsidRPr="008F3B89">
        <w:t>a provozních podmínek</w:t>
      </w:r>
      <w:r>
        <w:t>.</w:t>
      </w:r>
    </w:p>
    <w:p w14:paraId="79FDEB62" w14:textId="77777777" w:rsidR="00405317" w:rsidRDefault="00405317" w:rsidP="00405317">
      <w:pPr>
        <w:pStyle w:val="Bntext"/>
      </w:pPr>
      <w:bookmarkStart w:id="0" w:name="_Hlk41986257"/>
      <w:bookmarkStart w:id="1" w:name="_Hlk41980802"/>
      <w:bookmarkStart w:id="2" w:name="_Hlk41980671"/>
      <w:r>
        <w:t>Z hlediska investorství</w:t>
      </w:r>
      <w:r w:rsidRPr="00B90B01">
        <w:t xml:space="preserve"> </w:t>
      </w:r>
      <w:r w:rsidRPr="00F56DCE">
        <w:rPr>
          <w:b/>
          <w:bCs/>
        </w:rPr>
        <w:t>Typ 1</w:t>
      </w:r>
      <w:r w:rsidRPr="00B90B01">
        <w:t xml:space="preserve"> – součást PPO</w:t>
      </w:r>
      <w:r>
        <w:t>.</w:t>
      </w:r>
      <w:bookmarkEnd w:id="0"/>
      <w:r>
        <w:t xml:space="preserve"> </w:t>
      </w:r>
      <w:bookmarkEnd w:id="1"/>
    </w:p>
    <w:bookmarkEnd w:id="2"/>
    <w:p w14:paraId="1D3BFF99" w14:textId="77777777" w:rsidR="00405317" w:rsidRPr="00DA6A67" w:rsidRDefault="00405317" w:rsidP="00405317">
      <w:pPr>
        <w:pStyle w:val="Bntext"/>
      </w:pPr>
      <w:r w:rsidRPr="007547BF">
        <w:t>Město Krnov</w:t>
      </w:r>
      <w:r>
        <w:t xml:space="preserve"> zajistí projednání odsunu zídky s vlastníkem pozemku (</w:t>
      </w:r>
      <w:r w:rsidRPr="00A87A25">
        <w:t xml:space="preserve">fy. Strojírny </w:t>
      </w:r>
      <w:proofErr w:type="spellStart"/>
      <w:r w:rsidRPr="00A87A25">
        <w:t>Kalinowski</w:t>
      </w:r>
      <w:proofErr w:type="spellEnd"/>
      <w:r>
        <w:t xml:space="preserve"> a p. Tihelka). </w:t>
      </w:r>
    </w:p>
    <w:p w14:paraId="21C940C3" w14:textId="77777777" w:rsidR="002F650F" w:rsidRDefault="001439D7"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40C64AD0" w14:textId="77777777" w:rsidR="006461C2" w:rsidRDefault="005B7EDA" w:rsidP="00AC3DAA">
      <w:pPr>
        <w:pStyle w:val="Bntext"/>
      </w:pPr>
      <w:r>
        <w:t>Ochranná zídka na LB je zařazena v DUR PPO jako SO 090.13.4 Levobře</w:t>
      </w:r>
      <w:r w:rsidR="00F73DEB">
        <w:t>ž</w:t>
      </w:r>
      <w:r>
        <w:t>ní ochranná zídka v km 0,</w:t>
      </w:r>
      <w:r w:rsidR="00F73DEB">
        <w:t>233</w:t>
      </w:r>
      <w:r>
        <w:t xml:space="preserve"> – 0,</w:t>
      </w:r>
      <w:r w:rsidR="00F73DEB">
        <w:t>534</w:t>
      </w:r>
      <w:r w:rsidR="00B220E5">
        <w:t xml:space="preserve">, tvoří linii ochrany </w:t>
      </w:r>
      <w:r>
        <w:t xml:space="preserve">a </w:t>
      </w:r>
      <w:r w:rsidR="00E2473F">
        <w:t>bude</w:t>
      </w:r>
      <w:r>
        <w:t xml:space="preserve"> realizovaná v rámci stavby PPO</w:t>
      </w:r>
      <w:r w:rsidR="00E2473F">
        <w:t xml:space="preserve"> a bude financována z prostředků investora PPO</w:t>
      </w:r>
      <w:r>
        <w:t>.</w:t>
      </w:r>
      <w:r w:rsidR="00E2473F">
        <w:t xml:space="preserve"> </w:t>
      </w:r>
    </w:p>
    <w:p w14:paraId="1230DC77" w14:textId="3D0A5CD6" w:rsidR="006461C2" w:rsidRDefault="00E2473F" w:rsidP="006461C2">
      <w:pPr>
        <w:pStyle w:val="Bntext"/>
      </w:pPr>
      <w:r>
        <w:t>Přijetí záměru</w:t>
      </w:r>
      <w:r w:rsidR="006461C2">
        <w:t xml:space="preserve"> </w:t>
      </w:r>
      <w:r>
        <w:t>vyžaduje</w:t>
      </w:r>
      <w:r w:rsidR="006461C2">
        <w:t xml:space="preserve"> přepracování příslušné části DUR</w:t>
      </w:r>
      <w:r w:rsidR="00405317">
        <w:t xml:space="preserve"> (SO 090.13.4)</w:t>
      </w:r>
      <w:r w:rsidR="006461C2">
        <w:t>.</w:t>
      </w:r>
      <w:r>
        <w:t xml:space="preserve"> </w:t>
      </w:r>
      <w:r w:rsidR="006461C2">
        <w:t xml:space="preserve">Nutná </w:t>
      </w:r>
      <w:r w:rsidR="00405317">
        <w:t xml:space="preserve">je </w:t>
      </w:r>
      <w:r w:rsidR="006461C2">
        <w:t xml:space="preserve">koordinace s dalšími náměty </w:t>
      </w:r>
      <w:r w:rsidR="00405317">
        <w:t xml:space="preserve">- </w:t>
      </w:r>
      <w:r w:rsidR="006461C2">
        <w:t>C.02, C.05.</w:t>
      </w:r>
    </w:p>
    <w:p w14:paraId="51985F26" w14:textId="389B06FF" w:rsidR="00271D78" w:rsidRDefault="00271D78" w:rsidP="006461C2">
      <w:pPr>
        <w:pStyle w:val="Bntext"/>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286"/>
      </w:tblGrid>
      <w:tr w:rsidR="006F665D" w:rsidRPr="00ED5BBD" w14:paraId="09B2ECAE" w14:textId="77777777" w:rsidTr="00BC25DC">
        <w:tc>
          <w:tcPr>
            <w:tcW w:w="9062" w:type="dxa"/>
            <w:shd w:val="clear" w:color="auto" w:fill="F2F2F2" w:themeFill="background1" w:themeFillShade="F2"/>
            <w:hideMark/>
          </w:tcPr>
          <w:p w14:paraId="6F93871A" w14:textId="77777777" w:rsidR="006F665D" w:rsidRPr="00ED5BBD" w:rsidRDefault="006F665D" w:rsidP="00BC25DC">
            <w:pPr>
              <w:rPr>
                <w:rFonts w:cs="Arial"/>
                <w:b/>
                <w:bCs/>
                <w:color w:val="FF0000"/>
                <w:szCs w:val="20"/>
              </w:rPr>
            </w:pPr>
            <w:bookmarkStart w:id="3" w:name="_Hlk48577448"/>
            <w:r w:rsidRPr="00ED5BBD">
              <w:rPr>
                <w:rFonts w:cs="Arial"/>
                <w:b/>
                <w:bCs/>
                <w:color w:val="FF0000"/>
                <w:sz w:val="24"/>
              </w:rPr>
              <w:t>ZÁVĚR</w:t>
            </w:r>
          </w:p>
        </w:tc>
      </w:tr>
      <w:tr w:rsidR="006F665D" w:rsidRPr="00ED5BBD" w14:paraId="5139F362" w14:textId="77777777" w:rsidTr="00BC25DC">
        <w:tc>
          <w:tcPr>
            <w:tcW w:w="9062" w:type="dxa"/>
            <w:hideMark/>
          </w:tcPr>
          <w:p w14:paraId="5A4673E8" w14:textId="6418E1EE" w:rsidR="006F665D" w:rsidRDefault="006F665D" w:rsidP="006F665D">
            <w:pPr>
              <w:pStyle w:val="Bntext"/>
              <w:rPr>
                <w:color w:val="FF0000"/>
                <w:szCs w:val="20"/>
              </w:rPr>
            </w:pPr>
            <w:r>
              <w:rPr>
                <w:color w:val="FF0000"/>
                <w:szCs w:val="20"/>
              </w:rPr>
              <w:t>b</w:t>
            </w:r>
            <w:r>
              <w:rPr>
                <w:color w:val="FF0000"/>
                <w:szCs w:val="20"/>
              </w:rPr>
              <w:t>ylo dohodnuto:</w:t>
            </w:r>
          </w:p>
          <w:p w14:paraId="5BD97EAB" w14:textId="29A0425A" w:rsidR="006F665D" w:rsidRDefault="006F665D" w:rsidP="006F665D">
            <w:pPr>
              <w:pStyle w:val="Bntext"/>
              <w:rPr>
                <w:color w:val="FF0000"/>
                <w:szCs w:val="20"/>
              </w:rPr>
            </w:pPr>
            <w:r>
              <w:rPr>
                <w:color w:val="FF0000"/>
                <w:szCs w:val="20"/>
              </w:rPr>
              <w:t>_ bude předloženo upravené řešení – umístění schodiště ve svahu (C.01), překonání opěrné zídky splňující PPO – oplocení, branka (viz C.03)</w:t>
            </w:r>
          </w:p>
          <w:p w14:paraId="041E36D7" w14:textId="162A75CE" w:rsidR="006F665D" w:rsidRDefault="006F665D" w:rsidP="006F665D">
            <w:pPr>
              <w:pStyle w:val="Bntext"/>
              <w:rPr>
                <w:color w:val="FF0000"/>
                <w:szCs w:val="20"/>
              </w:rPr>
            </w:pPr>
          </w:p>
          <w:p w14:paraId="75F60CF1" w14:textId="7B5B60B9" w:rsidR="006F665D" w:rsidRDefault="006F665D" w:rsidP="006F665D">
            <w:pPr>
              <w:pStyle w:val="Bntext"/>
              <w:rPr>
                <w:color w:val="FF0000"/>
                <w:szCs w:val="20"/>
              </w:rPr>
            </w:pPr>
          </w:p>
          <w:p w14:paraId="7B9A9E0D" w14:textId="77777777" w:rsidR="006F665D" w:rsidRDefault="006F665D" w:rsidP="006F665D">
            <w:pPr>
              <w:pStyle w:val="Bntext"/>
              <w:rPr>
                <w:color w:val="FF0000"/>
                <w:szCs w:val="20"/>
              </w:rPr>
            </w:pPr>
          </w:p>
          <w:p w14:paraId="302E88FB" w14:textId="77777777" w:rsidR="006F665D" w:rsidRDefault="006F665D" w:rsidP="00BC25DC">
            <w:pPr>
              <w:pStyle w:val="Bntext"/>
              <w:rPr>
                <w:rFonts w:cs="Arial"/>
                <w:color w:val="FF0000"/>
                <w:szCs w:val="20"/>
              </w:rPr>
            </w:pPr>
          </w:p>
          <w:p w14:paraId="0449E0C0" w14:textId="77777777" w:rsidR="006F665D" w:rsidRDefault="006F665D" w:rsidP="00BC25DC">
            <w:pPr>
              <w:pStyle w:val="Bntext"/>
              <w:jc w:val="left"/>
              <w:rPr>
                <w:color w:val="FF0000"/>
                <w:szCs w:val="20"/>
              </w:rPr>
            </w:pPr>
            <w:r>
              <w:rPr>
                <w:color w:val="FF0000"/>
                <w:szCs w:val="20"/>
              </w:rPr>
              <w:lastRenderedPageBreak/>
              <w:t>principiální řešení viz ilustrační obrázek:</w:t>
            </w:r>
          </w:p>
          <w:p w14:paraId="213FD7E1" w14:textId="77777777" w:rsidR="006F665D" w:rsidRDefault="006F665D" w:rsidP="00BC25DC">
            <w:pPr>
              <w:pStyle w:val="Bntext"/>
              <w:jc w:val="left"/>
              <w:rPr>
                <w:color w:val="FF0000"/>
                <w:szCs w:val="20"/>
              </w:rPr>
            </w:pPr>
            <w:r>
              <w:rPr>
                <w:noProof/>
                <w:color w:val="FF0000"/>
                <w:szCs w:val="20"/>
              </w:rPr>
              <w:drawing>
                <wp:inline distT="0" distB="0" distL="0" distR="0" wp14:anchorId="0B1D298B" wp14:editId="78CF7570">
                  <wp:extent cx="5759450" cy="487616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4876165"/>
                          </a:xfrm>
                          <a:prstGeom prst="rect">
                            <a:avLst/>
                          </a:prstGeom>
                        </pic:spPr>
                      </pic:pic>
                    </a:graphicData>
                  </a:graphic>
                </wp:inline>
              </w:drawing>
            </w:r>
          </w:p>
          <w:p w14:paraId="29499A12" w14:textId="77777777" w:rsidR="006F665D" w:rsidRPr="003C652C" w:rsidRDefault="006F665D" w:rsidP="00BC25DC">
            <w:pPr>
              <w:pStyle w:val="Bntext"/>
              <w:jc w:val="left"/>
            </w:pPr>
          </w:p>
          <w:p w14:paraId="07A87B62" w14:textId="77777777" w:rsidR="006F665D" w:rsidRPr="00ED5BBD" w:rsidRDefault="006F665D" w:rsidP="00BC25DC">
            <w:pPr>
              <w:pStyle w:val="Bntext"/>
              <w:rPr>
                <w:rFonts w:cs="Arial"/>
                <w:color w:val="FF0000"/>
                <w:szCs w:val="20"/>
              </w:rPr>
            </w:pPr>
          </w:p>
          <w:p w14:paraId="65922615" w14:textId="77777777" w:rsidR="006F665D" w:rsidRPr="00ED5BBD" w:rsidRDefault="006F665D" w:rsidP="00BC25DC">
            <w:pPr>
              <w:pStyle w:val="Bntext"/>
              <w:rPr>
                <w:rFonts w:cs="Arial"/>
                <w:color w:val="FF0000"/>
                <w:szCs w:val="20"/>
              </w:rPr>
            </w:pPr>
          </w:p>
          <w:p w14:paraId="32CBD869" w14:textId="77777777" w:rsidR="006F665D" w:rsidRPr="00ED5BBD" w:rsidRDefault="006F665D" w:rsidP="00BC25DC">
            <w:pPr>
              <w:rPr>
                <w:rFonts w:cs="Arial"/>
                <w:color w:val="FF0000"/>
                <w:szCs w:val="20"/>
              </w:rPr>
            </w:pPr>
          </w:p>
        </w:tc>
      </w:tr>
      <w:tr w:rsidR="006F665D" w:rsidRPr="00ED5BBD" w14:paraId="681BBC8C" w14:textId="77777777" w:rsidTr="00BC25DC">
        <w:tc>
          <w:tcPr>
            <w:tcW w:w="9062" w:type="dxa"/>
            <w:shd w:val="clear" w:color="auto" w:fill="auto"/>
          </w:tcPr>
          <w:p w14:paraId="373ADC21" w14:textId="77777777" w:rsidR="006F665D" w:rsidRPr="00ED5BBD" w:rsidRDefault="006F665D" w:rsidP="00BC25DC">
            <w:pPr>
              <w:rPr>
                <w:rFonts w:cs="Arial"/>
                <w:color w:val="FF0000"/>
                <w:szCs w:val="20"/>
              </w:rPr>
            </w:pPr>
            <w:r w:rsidRPr="00ED5BBD">
              <w:rPr>
                <w:rFonts w:cs="Arial"/>
                <w:i/>
                <w:iCs/>
                <w:color w:val="FF0000"/>
                <w:szCs w:val="20"/>
              </w:rPr>
              <w:lastRenderedPageBreak/>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3"/>
    </w:tbl>
    <w:p w14:paraId="7DC1E3B4" w14:textId="75AE5ADF" w:rsidR="006C0CF4" w:rsidRPr="006C0CF4" w:rsidRDefault="006C0CF4" w:rsidP="006F665D">
      <w:pPr>
        <w:pStyle w:val="Bntext"/>
      </w:pPr>
    </w:p>
    <w:sectPr w:rsidR="006C0CF4" w:rsidRPr="006C0CF4">
      <w:headerReference w:type="default" r:id="rId10"/>
      <w:footerReference w:type="default" r:id="rId11"/>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4AB720" w14:textId="77777777" w:rsidR="00342321" w:rsidRDefault="00342321">
      <w:r>
        <w:separator/>
      </w:r>
    </w:p>
  </w:endnote>
  <w:endnote w:type="continuationSeparator" w:id="0">
    <w:p w14:paraId="711D77A4" w14:textId="77777777" w:rsidR="00342321" w:rsidRDefault="003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29658055" w14:textId="77777777">
      <w:trPr>
        <w:cantSplit/>
      </w:trPr>
      <w:tc>
        <w:tcPr>
          <w:tcW w:w="9210" w:type="dxa"/>
          <w:gridSpan w:val="2"/>
          <w:tcBorders>
            <w:bottom w:val="single" w:sz="4" w:space="0" w:color="auto"/>
          </w:tcBorders>
        </w:tcPr>
        <w:p w14:paraId="04ED9478"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5EA7FED7" w14:textId="77777777">
      <w:tc>
        <w:tcPr>
          <w:tcW w:w="4605" w:type="dxa"/>
          <w:tcBorders>
            <w:top w:val="single" w:sz="4" w:space="0" w:color="auto"/>
          </w:tcBorders>
        </w:tcPr>
        <w:p w14:paraId="35F91452" w14:textId="1E55E006" w:rsidR="00BE0FEB" w:rsidRDefault="004C3E25">
          <w:pPr>
            <w:pStyle w:val="Zpat"/>
          </w:pPr>
          <w:fldSimple w:instr=" FILENAME  \* MERGEFORMAT ">
            <w:r w:rsidR="006F665D">
              <w:rPr>
                <w:noProof/>
              </w:rPr>
              <w:t>C_03+zaver 08-2020.docx</w:t>
            </w:r>
          </w:fldSimple>
        </w:p>
      </w:tc>
      <w:tc>
        <w:tcPr>
          <w:tcW w:w="4605" w:type="dxa"/>
          <w:tcBorders>
            <w:top w:val="single" w:sz="4" w:space="0" w:color="auto"/>
          </w:tcBorders>
          <w:vAlign w:val="bottom"/>
        </w:tcPr>
        <w:p w14:paraId="2F8D66A8"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6DE866B4"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9733A" w14:textId="77777777" w:rsidR="00342321" w:rsidRDefault="00342321">
      <w:r>
        <w:separator/>
      </w:r>
    </w:p>
  </w:footnote>
  <w:footnote w:type="continuationSeparator" w:id="0">
    <w:p w14:paraId="02142E8D" w14:textId="77777777" w:rsidR="00342321" w:rsidRDefault="00342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043D6C34" w14:textId="77777777" w:rsidTr="002F650F">
      <w:tc>
        <w:tcPr>
          <w:tcW w:w="4677" w:type="dxa"/>
          <w:tcBorders>
            <w:bottom w:val="single" w:sz="4" w:space="0" w:color="auto"/>
          </w:tcBorders>
        </w:tcPr>
        <w:p w14:paraId="33434D93" w14:textId="77777777" w:rsidR="00BC0753" w:rsidRDefault="00101B48" w:rsidP="00BC0753">
          <w:pPr>
            <w:pStyle w:val="Zhlav"/>
          </w:pPr>
          <w:r>
            <w:t>List opatření</w:t>
          </w:r>
        </w:p>
      </w:tc>
      <w:tc>
        <w:tcPr>
          <w:tcW w:w="4605" w:type="dxa"/>
          <w:tcBorders>
            <w:bottom w:val="single" w:sz="4" w:space="0" w:color="auto"/>
          </w:tcBorders>
          <w:vAlign w:val="bottom"/>
        </w:tcPr>
        <w:p w14:paraId="3803C8DC"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3CB23FC5" w14:textId="77777777" w:rsidTr="002F650F">
      <w:trPr>
        <w:cantSplit/>
      </w:trPr>
      <w:tc>
        <w:tcPr>
          <w:tcW w:w="9282" w:type="dxa"/>
          <w:gridSpan w:val="2"/>
          <w:tcBorders>
            <w:top w:val="single" w:sz="4" w:space="0" w:color="auto"/>
            <w:bottom w:val="nil"/>
          </w:tcBorders>
        </w:tcPr>
        <w:p w14:paraId="436CB6EB" w14:textId="77777777" w:rsidR="00BE0FEB" w:rsidRDefault="00F129D3">
          <w:pPr>
            <w:pStyle w:val="Zhlav"/>
            <w:jc w:val="right"/>
          </w:pPr>
          <w:proofErr w:type="gramStart"/>
          <w:r>
            <w:t>20044A</w:t>
          </w:r>
          <w:proofErr w:type="gramEnd"/>
        </w:p>
      </w:tc>
    </w:tr>
  </w:tbl>
  <w:p w14:paraId="1D453FB6"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5852"/>
    <w:rsid w:val="00044DC5"/>
    <w:rsid w:val="000E219D"/>
    <w:rsid w:val="00101B48"/>
    <w:rsid w:val="001439D7"/>
    <w:rsid w:val="001D6AFC"/>
    <w:rsid w:val="001E1F3D"/>
    <w:rsid w:val="00201086"/>
    <w:rsid w:val="00235460"/>
    <w:rsid w:val="00271D78"/>
    <w:rsid w:val="002A26DD"/>
    <w:rsid w:val="002E2D38"/>
    <w:rsid w:val="002F08DA"/>
    <w:rsid w:val="002F650F"/>
    <w:rsid w:val="003404FD"/>
    <w:rsid w:val="00342321"/>
    <w:rsid w:val="003F5A51"/>
    <w:rsid w:val="00405317"/>
    <w:rsid w:val="0048095C"/>
    <w:rsid w:val="00493812"/>
    <w:rsid w:val="004C3E25"/>
    <w:rsid w:val="004F2E3C"/>
    <w:rsid w:val="005B07AF"/>
    <w:rsid w:val="005B7EDA"/>
    <w:rsid w:val="005E182B"/>
    <w:rsid w:val="006461C2"/>
    <w:rsid w:val="00693F6B"/>
    <w:rsid w:val="006C0CF4"/>
    <w:rsid w:val="006F665D"/>
    <w:rsid w:val="007A41FB"/>
    <w:rsid w:val="007B4CAD"/>
    <w:rsid w:val="008E208F"/>
    <w:rsid w:val="008E7411"/>
    <w:rsid w:val="008F3B89"/>
    <w:rsid w:val="009079AE"/>
    <w:rsid w:val="009451B8"/>
    <w:rsid w:val="00947DE4"/>
    <w:rsid w:val="009B4603"/>
    <w:rsid w:val="00A85A37"/>
    <w:rsid w:val="00AC3DAA"/>
    <w:rsid w:val="00B220E5"/>
    <w:rsid w:val="00B50DEA"/>
    <w:rsid w:val="00B72190"/>
    <w:rsid w:val="00BC0753"/>
    <w:rsid w:val="00BD23D3"/>
    <w:rsid w:val="00BE0FEB"/>
    <w:rsid w:val="00C96FFD"/>
    <w:rsid w:val="00DA6A67"/>
    <w:rsid w:val="00DD256E"/>
    <w:rsid w:val="00E2473F"/>
    <w:rsid w:val="00E25109"/>
    <w:rsid w:val="00E30D89"/>
    <w:rsid w:val="00E46408"/>
    <w:rsid w:val="00E63454"/>
    <w:rsid w:val="00ED3333"/>
    <w:rsid w:val="00F129D3"/>
    <w:rsid w:val="00F51BBC"/>
    <w:rsid w:val="00F73D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B29EDB"/>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044DC5"/>
    <w:rPr>
      <w:rFonts w:ascii="Segoe UI" w:hAnsi="Segoe UI" w:cs="Segoe UI"/>
      <w:sz w:val="18"/>
      <w:szCs w:val="18"/>
    </w:rPr>
  </w:style>
  <w:style w:type="character" w:customStyle="1" w:styleId="TextbublinyChar">
    <w:name w:val="Text bubliny Char"/>
    <w:basedOn w:val="Standardnpsmoodstavce"/>
    <w:link w:val="Textbubliny"/>
    <w:rsid w:val="00044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3</Pages>
  <Words>558</Words>
  <Characters>3299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37</cp:revision>
  <cp:lastPrinted>1900-12-31T23:00:00Z</cp:lastPrinted>
  <dcterms:created xsi:type="dcterms:W3CDTF">2020-02-20T08:46:00Z</dcterms:created>
  <dcterms:modified xsi:type="dcterms:W3CDTF">2020-08-17T15:32:00Z</dcterms:modified>
</cp:coreProperties>
</file>